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8FAF9" w14:textId="78577E67" w:rsidR="00773ADE" w:rsidRPr="00935C63" w:rsidRDefault="00773ADE" w:rsidP="009776F4">
      <w:pPr>
        <w:ind w:left="1680"/>
        <w:jc w:val="both"/>
        <w:rPr>
          <w:rFonts w:ascii="Calibri" w:hAnsi="Calibri"/>
          <w:sz w:val="22"/>
          <w:szCs w:val="22"/>
        </w:rPr>
      </w:pPr>
      <w:r w:rsidRPr="00935C63">
        <w:rPr>
          <w:rFonts w:ascii="Calibri" w:hAnsi="Calibri" w:cs="Arial"/>
          <w:noProof/>
          <w:sz w:val="22"/>
          <w:szCs w:val="22"/>
          <w:lang w:val="en-US" w:eastAsia="en-US"/>
        </w:rPr>
        <w:drawing>
          <wp:anchor distT="0" distB="0" distL="114300" distR="114300" simplePos="0" relativeHeight="251659264" behindDoc="0" locked="0" layoutInCell="1" allowOverlap="1" wp14:anchorId="1E272B69" wp14:editId="55465FDF">
            <wp:simplePos x="0" y="0"/>
            <wp:positionH relativeFrom="column">
              <wp:posOffset>4204335</wp:posOffset>
            </wp:positionH>
            <wp:positionV relativeFrom="paragraph">
              <wp:posOffset>0</wp:posOffset>
            </wp:positionV>
            <wp:extent cx="1767840" cy="571500"/>
            <wp:effectExtent l="0" t="0" r="3810" b="0"/>
            <wp:wrapSquare wrapText="bothSides"/>
            <wp:docPr id="9" name="Picture 11" descr="H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C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571500"/>
                    </a:xfrm>
                    <a:prstGeom prst="rect">
                      <a:avLst/>
                    </a:prstGeom>
                    <a:noFill/>
                    <a:ln w="9525">
                      <a:noFill/>
                      <a:miter lim="800000"/>
                      <a:headEnd/>
                      <a:tailEnd/>
                    </a:ln>
                  </pic:spPr>
                </pic:pic>
              </a:graphicData>
            </a:graphic>
            <wp14:sizeRelV relativeFrom="margin">
              <wp14:pctHeight>0</wp14:pctHeight>
            </wp14:sizeRelV>
          </wp:anchor>
        </w:drawing>
      </w:r>
    </w:p>
    <w:p w14:paraId="4F991D45" w14:textId="77777777" w:rsidR="00773ADE" w:rsidRPr="00935C63" w:rsidRDefault="00773ADE" w:rsidP="009776F4">
      <w:pPr>
        <w:ind w:left="1680"/>
        <w:jc w:val="both"/>
        <w:rPr>
          <w:rFonts w:ascii="Calibri" w:hAnsi="Calibri"/>
          <w:sz w:val="22"/>
          <w:szCs w:val="22"/>
        </w:rPr>
      </w:pPr>
    </w:p>
    <w:p w14:paraId="4547FAD2" w14:textId="77777777" w:rsidR="00415E3E" w:rsidRPr="00935C63" w:rsidRDefault="00415E3E" w:rsidP="009B63D2">
      <w:pPr>
        <w:jc w:val="center"/>
        <w:rPr>
          <w:rFonts w:ascii="Calibri" w:hAnsi="Calibri"/>
          <w:b/>
          <w:sz w:val="22"/>
          <w:szCs w:val="22"/>
        </w:rPr>
      </w:pPr>
    </w:p>
    <w:p w14:paraId="756E34FC" w14:textId="77777777" w:rsidR="00415E3E" w:rsidRPr="00935C63" w:rsidRDefault="00415E3E" w:rsidP="009B63D2">
      <w:pPr>
        <w:jc w:val="center"/>
        <w:rPr>
          <w:rFonts w:ascii="Calibri" w:hAnsi="Calibri"/>
          <w:b/>
          <w:sz w:val="22"/>
          <w:szCs w:val="22"/>
        </w:rPr>
      </w:pPr>
    </w:p>
    <w:p w14:paraId="19686134" w14:textId="3996BCB6" w:rsidR="003F1EEA" w:rsidRPr="00935C63" w:rsidRDefault="0088626A" w:rsidP="009B63D2">
      <w:pPr>
        <w:jc w:val="center"/>
        <w:rPr>
          <w:rFonts w:ascii="Calibri" w:eastAsia="Times New Roman" w:hAnsi="Calibri" w:cs="Arial"/>
          <w:b/>
          <w:sz w:val="28"/>
          <w:szCs w:val="28"/>
        </w:rPr>
      </w:pPr>
      <w:r w:rsidRPr="00935C63">
        <w:rPr>
          <w:rFonts w:ascii="Calibri" w:hAnsi="Calibri"/>
          <w:b/>
          <w:sz w:val="28"/>
          <w:szCs w:val="28"/>
        </w:rPr>
        <w:t xml:space="preserve">HCL </w:t>
      </w:r>
      <w:r w:rsidR="00A85106" w:rsidRPr="00935C63">
        <w:rPr>
          <w:rFonts w:ascii="Calibri" w:hAnsi="Calibri"/>
          <w:b/>
          <w:sz w:val="28"/>
          <w:szCs w:val="28"/>
        </w:rPr>
        <w:t>launches</w:t>
      </w:r>
      <w:r w:rsidR="006C227B" w:rsidRPr="00935C63">
        <w:rPr>
          <w:rFonts w:ascii="Calibri" w:hAnsi="Calibri"/>
          <w:b/>
          <w:sz w:val="28"/>
          <w:szCs w:val="28"/>
        </w:rPr>
        <w:t xml:space="preserve"> </w:t>
      </w:r>
      <w:r w:rsidR="00A85106" w:rsidRPr="00935C63">
        <w:rPr>
          <w:rFonts w:ascii="Calibri" w:hAnsi="Calibri"/>
          <w:b/>
          <w:sz w:val="28"/>
          <w:szCs w:val="28"/>
        </w:rPr>
        <w:t>G</w:t>
      </w:r>
      <w:r w:rsidR="00462B87" w:rsidRPr="00935C63">
        <w:rPr>
          <w:rFonts w:ascii="Calibri" w:hAnsi="Calibri"/>
          <w:b/>
          <w:sz w:val="28"/>
          <w:szCs w:val="28"/>
        </w:rPr>
        <w:t>DPR</w:t>
      </w:r>
      <w:r w:rsidR="00113329" w:rsidRPr="00935C63">
        <w:rPr>
          <w:rFonts w:ascii="Calibri" w:hAnsi="Calibri"/>
          <w:b/>
          <w:sz w:val="28"/>
          <w:szCs w:val="28"/>
        </w:rPr>
        <w:t xml:space="preserve"> Services</w:t>
      </w:r>
      <w:r w:rsidR="00462B87" w:rsidRPr="00935C63">
        <w:rPr>
          <w:rFonts w:ascii="Calibri" w:hAnsi="Calibri"/>
          <w:b/>
          <w:sz w:val="28"/>
          <w:szCs w:val="28"/>
        </w:rPr>
        <w:t xml:space="preserve"> </w:t>
      </w:r>
      <w:r w:rsidR="00506843" w:rsidRPr="00935C63">
        <w:rPr>
          <w:rFonts w:ascii="Calibri" w:hAnsi="Calibri"/>
          <w:b/>
          <w:sz w:val="28"/>
          <w:szCs w:val="28"/>
        </w:rPr>
        <w:t>t</w:t>
      </w:r>
      <w:r w:rsidR="001766DF" w:rsidRPr="00935C63">
        <w:rPr>
          <w:rFonts w:ascii="Calibri" w:hAnsi="Calibri"/>
          <w:b/>
          <w:sz w:val="28"/>
          <w:szCs w:val="28"/>
        </w:rPr>
        <w:t>o Enable</w:t>
      </w:r>
      <w:r w:rsidR="00A64538" w:rsidRPr="00935C63">
        <w:rPr>
          <w:rFonts w:ascii="Calibri" w:eastAsia="Times New Roman" w:hAnsi="Calibri" w:cs="Arial"/>
          <w:b/>
          <w:sz w:val="28"/>
          <w:szCs w:val="28"/>
        </w:rPr>
        <w:t xml:space="preserve"> Organiz</w:t>
      </w:r>
      <w:r w:rsidR="009B63D2" w:rsidRPr="00935C63">
        <w:rPr>
          <w:rFonts w:ascii="Calibri" w:eastAsia="Times New Roman" w:hAnsi="Calibri" w:cs="Arial"/>
          <w:b/>
          <w:sz w:val="28"/>
          <w:szCs w:val="28"/>
        </w:rPr>
        <w:t xml:space="preserve">ations </w:t>
      </w:r>
      <w:r w:rsidR="00462B87" w:rsidRPr="00935C63">
        <w:rPr>
          <w:rFonts w:ascii="Calibri" w:eastAsia="Times New Roman" w:hAnsi="Calibri" w:cs="Arial"/>
          <w:b/>
          <w:sz w:val="28"/>
          <w:szCs w:val="28"/>
        </w:rPr>
        <w:t>Comply with</w:t>
      </w:r>
      <w:r w:rsidR="001766DF" w:rsidRPr="00935C63">
        <w:rPr>
          <w:rFonts w:ascii="Calibri" w:eastAsia="Times New Roman" w:hAnsi="Calibri" w:cs="Arial"/>
          <w:b/>
          <w:sz w:val="28"/>
          <w:szCs w:val="28"/>
        </w:rPr>
        <w:t xml:space="preserve"> EU Data Protection </w:t>
      </w:r>
      <w:r w:rsidR="00462B87" w:rsidRPr="00935C63">
        <w:rPr>
          <w:rFonts w:ascii="Calibri" w:eastAsia="Times New Roman" w:hAnsi="Calibri" w:cs="Arial"/>
          <w:b/>
          <w:sz w:val="28"/>
          <w:szCs w:val="28"/>
        </w:rPr>
        <w:t>Regulation</w:t>
      </w:r>
    </w:p>
    <w:p w14:paraId="287E54D7" w14:textId="77777777" w:rsidR="006C227B" w:rsidRPr="00935C63" w:rsidRDefault="006C227B" w:rsidP="009776F4">
      <w:pPr>
        <w:jc w:val="both"/>
        <w:rPr>
          <w:rFonts w:ascii="Calibri" w:hAnsi="Calibri"/>
          <w:b/>
          <w:sz w:val="28"/>
          <w:szCs w:val="28"/>
        </w:rPr>
      </w:pPr>
    </w:p>
    <w:p w14:paraId="4E2E9256" w14:textId="77777777" w:rsidR="0048220F" w:rsidRDefault="0048220F" w:rsidP="00F34A9E">
      <w:pPr>
        <w:jc w:val="both"/>
        <w:rPr>
          <w:rFonts w:ascii="Calibri" w:hAnsi="Calibri"/>
          <w:b/>
          <w:sz w:val="22"/>
          <w:szCs w:val="22"/>
        </w:rPr>
      </w:pPr>
    </w:p>
    <w:p w14:paraId="29027605" w14:textId="7CB1842E" w:rsidR="00F7781B" w:rsidRPr="00AA4345" w:rsidRDefault="00C81A67" w:rsidP="00F34A9E">
      <w:pPr>
        <w:jc w:val="both"/>
        <w:rPr>
          <w:rFonts w:ascii="Calibri" w:hAnsi="Calibri"/>
          <w:b/>
          <w:sz w:val="22"/>
          <w:szCs w:val="22"/>
        </w:rPr>
      </w:pPr>
      <w:r w:rsidRPr="00935C63">
        <w:rPr>
          <w:rFonts w:ascii="Calibri" w:hAnsi="Calibri"/>
          <w:b/>
          <w:sz w:val="22"/>
          <w:szCs w:val="22"/>
        </w:rPr>
        <w:t>Noida, India</w:t>
      </w:r>
      <w:bookmarkStart w:id="0" w:name="_GoBack"/>
      <w:bookmarkEnd w:id="0"/>
      <w:r w:rsidR="00AA4345">
        <w:rPr>
          <w:rFonts w:ascii="Calibri" w:hAnsi="Calibri"/>
          <w:b/>
          <w:sz w:val="22"/>
          <w:szCs w:val="22"/>
        </w:rPr>
        <w:t xml:space="preserve"> –</w:t>
      </w:r>
      <w:r w:rsidR="001133A7" w:rsidRPr="00935C63">
        <w:rPr>
          <w:rFonts w:ascii="Calibri" w:hAnsi="Calibri"/>
          <w:b/>
          <w:sz w:val="22"/>
          <w:szCs w:val="22"/>
        </w:rPr>
        <w:t xml:space="preserve"> June</w:t>
      </w:r>
      <w:r w:rsidR="00B15440" w:rsidRPr="00935C63">
        <w:rPr>
          <w:rFonts w:ascii="Calibri" w:hAnsi="Calibri"/>
          <w:b/>
          <w:sz w:val="22"/>
          <w:szCs w:val="22"/>
        </w:rPr>
        <w:t xml:space="preserve"> 14</w:t>
      </w:r>
      <w:r w:rsidR="00B15440" w:rsidRPr="00935C63">
        <w:rPr>
          <w:rFonts w:ascii="Calibri" w:hAnsi="Calibri"/>
          <w:b/>
          <w:sz w:val="22"/>
          <w:szCs w:val="22"/>
          <w:vertAlign w:val="superscript"/>
        </w:rPr>
        <w:t>th</w:t>
      </w:r>
      <w:r w:rsidR="00860755" w:rsidRPr="00935C63">
        <w:rPr>
          <w:rFonts w:ascii="Calibri" w:hAnsi="Calibri"/>
          <w:b/>
          <w:sz w:val="22"/>
          <w:szCs w:val="22"/>
        </w:rPr>
        <w:t xml:space="preserve">, </w:t>
      </w:r>
      <w:r w:rsidR="00113329" w:rsidRPr="00935C63">
        <w:rPr>
          <w:rFonts w:ascii="Calibri" w:hAnsi="Calibri"/>
          <w:b/>
          <w:sz w:val="22"/>
          <w:szCs w:val="22"/>
        </w:rPr>
        <w:t>2017</w:t>
      </w:r>
      <w:r w:rsidRPr="00935C63">
        <w:rPr>
          <w:rFonts w:ascii="Calibri" w:hAnsi="Calibri"/>
          <w:sz w:val="22"/>
          <w:szCs w:val="22"/>
        </w:rPr>
        <w:t xml:space="preserve"> </w:t>
      </w:r>
      <w:r w:rsidR="00B075B2" w:rsidRPr="00935C63">
        <w:rPr>
          <w:rFonts w:ascii="Calibri" w:hAnsi="Calibri" w:cs="Arial"/>
          <w:sz w:val="22"/>
          <w:szCs w:val="22"/>
          <w:lang w:val="en-IN"/>
        </w:rPr>
        <w:t xml:space="preserve">– </w:t>
      </w:r>
      <w:hyperlink r:id="rId7" w:history="1">
        <w:r w:rsidR="00B075B2" w:rsidRPr="00935C63">
          <w:rPr>
            <w:rStyle w:val="Hyperlink"/>
            <w:rFonts w:ascii="Calibri" w:hAnsi="Calibri"/>
            <w:color w:val="auto"/>
            <w:sz w:val="22"/>
            <w:szCs w:val="22"/>
          </w:rPr>
          <w:t>HCL Technologies</w:t>
        </w:r>
      </w:hyperlink>
      <w:r w:rsidR="00B075B2" w:rsidRPr="00935C63">
        <w:rPr>
          <w:rFonts w:ascii="Calibri" w:hAnsi="Calibri"/>
          <w:sz w:val="22"/>
          <w:szCs w:val="22"/>
        </w:rPr>
        <w:t xml:space="preserve"> (HCL</w:t>
      </w:r>
      <w:r w:rsidR="00B075B2" w:rsidRPr="00935C63">
        <w:rPr>
          <w:rFonts w:ascii="Calibri" w:hAnsi="Calibri"/>
          <w:sz w:val="22"/>
          <w:szCs w:val="22"/>
          <w:lang w:eastAsia="en-US"/>
        </w:rPr>
        <w:t>)</w:t>
      </w:r>
      <w:r w:rsidR="00B075B2" w:rsidRPr="00935C63">
        <w:rPr>
          <w:rFonts w:ascii="Calibri" w:hAnsi="Calibri" w:cs="Arial"/>
          <w:sz w:val="22"/>
          <w:szCs w:val="22"/>
          <w:lang w:val="en-IN"/>
        </w:rPr>
        <w:t>,</w:t>
      </w:r>
      <w:r w:rsidR="006E5DB5" w:rsidRPr="00935C63">
        <w:rPr>
          <w:rFonts w:ascii="Calibri" w:hAnsi="Calibri" w:cs="Arial"/>
          <w:sz w:val="22"/>
          <w:szCs w:val="22"/>
          <w:lang w:val="en-IN"/>
        </w:rPr>
        <w:t xml:space="preserve"> </w:t>
      </w:r>
      <w:r w:rsidRPr="00935C63">
        <w:rPr>
          <w:rFonts w:ascii="Calibri" w:hAnsi="Calibri"/>
          <w:sz w:val="22"/>
          <w:szCs w:val="22"/>
        </w:rPr>
        <w:t>a</w:t>
      </w:r>
      <w:r w:rsidR="001A5D1C" w:rsidRPr="00935C63">
        <w:rPr>
          <w:rFonts w:ascii="Calibri" w:hAnsi="Calibri"/>
          <w:sz w:val="22"/>
          <w:szCs w:val="22"/>
        </w:rPr>
        <w:t xml:space="preserve"> leading</w:t>
      </w:r>
      <w:r w:rsidRPr="00935C63">
        <w:rPr>
          <w:rFonts w:ascii="Calibri" w:hAnsi="Calibri"/>
          <w:sz w:val="22"/>
          <w:szCs w:val="22"/>
        </w:rPr>
        <w:t xml:space="preserve"> g</w:t>
      </w:r>
      <w:r w:rsidR="00813852" w:rsidRPr="00935C63">
        <w:rPr>
          <w:rFonts w:ascii="Calibri" w:hAnsi="Calibri"/>
          <w:sz w:val="22"/>
          <w:szCs w:val="22"/>
        </w:rPr>
        <w:t>lobal IT services provider</w:t>
      </w:r>
      <w:r w:rsidR="00897B5F" w:rsidRPr="00935C63">
        <w:rPr>
          <w:rFonts w:ascii="Calibri" w:hAnsi="Calibri"/>
          <w:sz w:val="22"/>
          <w:szCs w:val="22"/>
        </w:rPr>
        <w:t>,</w:t>
      </w:r>
      <w:r w:rsidRPr="00935C63">
        <w:rPr>
          <w:rFonts w:ascii="Calibri" w:hAnsi="Calibri"/>
          <w:sz w:val="22"/>
          <w:szCs w:val="22"/>
        </w:rPr>
        <w:t xml:space="preserve"> annou</w:t>
      </w:r>
      <w:r w:rsidR="00897B5F" w:rsidRPr="00935C63">
        <w:rPr>
          <w:rFonts w:ascii="Calibri" w:hAnsi="Calibri"/>
          <w:sz w:val="22"/>
          <w:szCs w:val="22"/>
        </w:rPr>
        <w:t>nces</w:t>
      </w:r>
      <w:r w:rsidR="007C48C7" w:rsidRPr="00935C63">
        <w:rPr>
          <w:rFonts w:ascii="Calibri" w:hAnsi="Calibri"/>
          <w:sz w:val="22"/>
          <w:szCs w:val="22"/>
        </w:rPr>
        <w:t xml:space="preserve"> the</w:t>
      </w:r>
      <w:r w:rsidR="00897B5F" w:rsidRPr="00935C63">
        <w:rPr>
          <w:rFonts w:ascii="Calibri" w:hAnsi="Calibri"/>
          <w:sz w:val="22"/>
          <w:szCs w:val="22"/>
        </w:rPr>
        <w:t xml:space="preserve"> launch of</w:t>
      </w:r>
      <w:r w:rsidRPr="00935C63">
        <w:rPr>
          <w:rFonts w:ascii="Calibri" w:hAnsi="Calibri"/>
          <w:sz w:val="22"/>
          <w:szCs w:val="22"/>
        </w:rPr>
        <w:t xml:space="preserve"> General Data Protection Regulation (GDPR) services</w:t>
      </w:r>
      <w:r w:rsidR="001766DF" w:rsidRPr="00935C63">
        <w:rPr>
          <w:rFonts w:ascii="Calibri" w:hAnsi="Calibri"/>
          <w:sz w:val="22"/>
          <w:szCs w:val="22"/>
        </w:rPr>
        <w:t xml:space="preserve"> to help organizations comply with EU GDPR</w:t>
      </w:r>
      <w:r w:rsidR="00A51A0C" w:rsidRPr="00935C63">
        <w:rPr>
          <w:rFonts w:ascii="Calibri" w:hAnsi="Calibri"/>
          <w:sz w:val="22"/>
          <w:szCs w:val="22"/>
        </w:rPr>
        <w:t xml:space="preserve"> regulation</w:t>
      </w:r>
      <w:r w:rsidRPr="00935C63">
        <w:rPr>
          <w:rFonts w:ascii="Calibri" w:hAnsi="Calibri"/>
          <w:sz w:val="22"/>
          <w:szCs w:val="22"/>
        </w:rPr>
        <w:t>.</w:t>
      </w:r>
      <w:r w:rsidR="00E15425" w:rsidRPr="00935C63">
        <w:rPr>
          <w:rFonts w:ascii="Calibri" w:hAnsi="Calibri"/>
          <w:sz w:val="22"/>
          <w:szCs w:val="22"/>
        </w:rPr>
        <w:t xml:space="preserve"> </w:t>
      </w:r>
      <w:r w:rsidRPr="00935C63">
        <w:rPr>
          <w:rFonts w:ascii="Calibri" w:hAnsi="Calibri"/>
          <w:sz w:val="22"/>
          <w:szCs w:val="22"/>
        </w:rPr>
        <w:t>The</w:t>
      </w:r>
      <w:r w:rsidR="005D524D" w:rsidRPr="00935C63">
        <w:rPr>
          <w:rFonts w:ascii="Calibri" w:hAnsi="Calibri"/>
          <w:sz w:val="22"/>
          <w:szCs w:val="22"/>
        </w:rPr>
        <w:t xml:space="preserve"> new</w:t>
      </w:r>
      <w:r w:rsidRPr="00935C63">
        <w:rPr>
          <w:rFonts w:ascii="Calibri" w:hAnsi="Calibri"/>
          <w:sz w:val="22"/>
          <w:szCs w:val="22"/>
        </w:rPr>
        <w:t xml:space="preserve"> GDPR Regulation</w:t>
      </w:r>
      <w:r w:rsidR="005D524D" w:rsidRPr="00935C63">
        <w:rPr>
          <w:rFonts w:ascii="Calibri" w:hAnsi="Calibri"/>
          <w:sz w:val="22"/>
          <w:szCs w:val="22"/>
        </w:rPr>
        <w:t xml:space="preserve"> which </w:t>
      </w:r>
      <w:r w:rsidR="009C2BFF" w:rsidRPr="00935C63">
        <w:rPr>
          <w:rFonts w:ascii="Calibri" w:hAnsi="Calibri"/>
          <w:sz w:val="22"/>
          <w:szCs w:val="22"/>
        </w:rPr>
        <w:t>is mandated to be adopted by</w:t>
      </w:r>
      <w:r w:rsidR="00E15425" w:rsidRPr="00935C63">
        <w:rPr>
          <w:rFonts w:ascii="Calibri" w:hAnsi="Calibri"/>
          <w:sz w:val="22"/>
          <w:szCs w:val="22"/>
        </w:rPr>
        <w:t xml:space="preserve"> May 2018</w:t>
      </w:r>
      <w:r w:rsidR="00727E31" w:rsidRPr="00935C63">
        <w:rPr>
          <w:rFonts w:ascii="Calibri" w:hAnsi="Calibri"/>
          <w:sz w:val="22"/>
          <w:szCs w:val="22"/>
        </w:rPr>
        <w:t xml:space="preserve">, </w:t>
      </w:r>
      <w:r w:rsidRPr="00935C63">
        <w:rPr>
          <w:rFonts w:ascii="Calibri" w:hAnsi="Calibri"/>
          <w:sz w:val="22"/>
          <w:szCs w:val="22"/>
        </w:rPr>
        <w:t>extends</w:t>
      </w:r>
      <w:r w:rsidR="009A7BBB" w:rsidRPr="00935C63">
        <w:rPr>
          <w:rFonts w:ascii="Calibri" w:hAnsi="Calibri"/>
          <w:sz w:val="22"/>
          <w:szCs w:val="22"/>
        </w:rPr>
        <w:t xml:space="preserve"> the data rights of individuals</w:t>
      </w:r>
      <w:r w:rsidR="00BA4A98" w:rsidRPr="00935C63">
        <w:rPr>
          <w:rFonts w:ascii="Calibri" w:hAnsi="Calibri"/>
          <w:sz w:val="22"/>
          <w:szCs w:val="22"/>
        </w:rPr>
        <w:t xml:space="preserve"> and requires organiz</w:t>
      </w:r>
      <w:r w:rsidRPr="00935C63">
        <w:rPr>
          <w:rFonts w:ascii="Calibri" w:hAnsi="Calibri"/>
          <w:sz w:val="22"/>
          <w:szCs w:val="22"/>
        </w:rPr>
        <w:t>ations to develop clear policies and proc</w:t>
      </w:r>
      <w:r w:rsidR="00614A5C" w:rsidRPr="00935C63">
        <w:rPr>
          <w:rFonts w:ascii="Calibri" w:hAnsi="Calibri"/>
          <w:sz w:val="22"/>
          <w:szCs w:val="22"/>
        </w:rPr>
        <w:t>edures to protect personal data</w:t>
      </w:r>
      <w:r w:rsidRPr="00935C63">
        <w:rPr>
          <w:rFonts w:ascii="Calibri" w:hAnsi="Calibri"/>
          <w:sz w:val="22"/>
          <w:szCs w:val="22"/>
        </w:rPr>
        <w:t xml:space="preserve"> and adopt appropriate technical and or</w:t>
      </w:r>
      <w:r w:rsidR="00713223" w:rsidRPr="00935C63">
        <w:rPr>
          <w:rFonts w:ascii="Calibri" w:hAnsi="Calibri"/>
          <w:sz w:val="22"/>
          <w:szCs w:val="22"/>
        </w:rPr>
        <w:t>ganiz</w:t>
      </w:r>
      <w:r w:rsidRPr="00935C63">
        <w:rPr>
          <w:rFonts w:ascii="Calibri" w:hAnsi="Calibri"/>
          <w:sz w:val="22"/>
          <w:szCs w:val="22"/>
        </w:rPr>
        <w:t>ational measures.</w:t>
      </w:r>
    </w:p>
    <w:p w14:paraId="013E00B1" w14:textId="77777777" w:rsidR="00F7781B" w:rsidRPr="00935C63" w:rsidRDefault="00F7781B" w:rsidP="00F34A9E">
      <w:pPr>
        <w:jc w:val="both"/>
        <w:rPr>
          <w:rFonts w:ascii="Calibri" w:hAnsi="Calibri"/>
          <w:sz w:val="22"/>
          <w:szCs w:val="22"/>
        </w:rPr>
      </w:pPr>
    </w:p>
    <w:p w14:paraId="07E24B5E" w14:textId="15CCA44A" w:rsidR="0043093D" w:rsidRPr="00A76ECE" w:rsidRDefault="00F34A9E" w:rsidP="009776F4">
      <w:pPr>
        <w:jc w:val="both"/>
        <w:rPr>
          <w:rFonts w:ascii="Calibri" w:hAnsi="Calibri"/>
          <w:b/>
          <w:sz w:val="22"/>
          <w:szCs w:val="22"/>
        </w:rPr>
      </w:pPr>
      <w:r w:rsidRPr="00935C63">
        <w:rPr>
          <w:rFonts w:ascii="Calibri" w:eastAsia="Times New Roman" w:hAnsi="Calibri"/>
          <w:sz w:val="22"/>
          <w:szCs w:val="22"/>
          <w:shd w:val="clear" w:color="auto" w:fill="FFFFFF"/>
        </w:rPr>
        <w:t>“</w:t>
      </w:r>
      <w:r w:rsidRPr="00935C63">
        <w:rPr>
          <w:rFonts w:ascii="Calibri" w:hAnsi="Calibri"/>
          <w:sz w:val="22"/>
          <w:szCs w:val="22"/>
        </w:rPr>
        <w:t xml:space="preserve">In the digital era, privacy, security and personalization are the most significant issues facing corporations and individual alike. Enabling GDPR compliance is not just about managing regulatory requirements but can also be a source of competitive advantage, said </w:t>
      </w:r>
      <w:r w:rsidRPr="00935C63">
        <w:rPr>
          <w:rFonts w:ascii="Calibri" w:hAnsi="Calibri"/>
          <w:b/>
          <w:sz w:val="22"/>
          <w:szCs w:val="22"/>
        </w:rPr>
        <w:t>Maninder Singh, Corporate Vice President and Head – Cyber</w:t>
      </w:r>
      <w:r w:rsidR="008856E3">
        <w:rPr>
          <w:rFonts w:ascii="Calibri" w:hAnsi="Calibri"/>
          <w:b/>
          <w:sz w:val="22"/>
          <w:szCs w:val="22"/>
        </w:rPr>
        <w:t xml:space="preserve"> S</w:t>
      </w:r>
      <w:r w:rsidRPr="00935C63">
        <w:rPr>
          <w:rFonts w:ascii="Calibri" w:hAnsi="Calibri"/>
          <w:b/>
          <w:sz w:val="22"/>
          <w:szCs w:val="22"/>
        </w:rPr>
        <w:t>ecurity &amp; GRC, HCL Technologies</w:t>
      </w:r>
      <w:r w:rsidRPr="00935C63">
        <w:rPr>
          <w:rFonts w:ascii="Calibri" w:hAnsi="Calibri"/>
          <w:sz w:val="22"/>
          <w:szCs w:val="22"/>
        </w:rPr>
        <w:t>. “HCL’s industry leading solutions, IT expertise and extensive European experience working with global corporations makes the company an ideal partner in this space.”</w:t>
      </w:r>
    </w:p>
    <w:p w14:paraId="23FB5CB9" w14:textId="77777777" w:rsidR="0043093D" w:rsidRPr="00935C63" w:rsidRDefault="0043093D" w:rsidP="009776F4">
      <w:pPr>
        <w:jc w:val="both"/>
        <w:rPr>
          <w:rFonts w:ascii="Calibri" w:hAnsi="Calibri"/>
          <w:sz w:val="22"/>
          <w:szCs w:val="22"/>
        </w:rPr>
      </w:pPr>
    </w:p>
    <w:p w14:paraId="0F407FA9" w14:textId="0F720375" w:rsidR="00A85106" w:rsidRPr="00935C63" w:rsidRDefault="0098294E" w:rsidP="009776F4">
      <w:pPr>
        <w:jc w:val="both"/>
        <w:rPr>
          <w:rFonts w:ascii="Calibri" w:hAnsi="Calibri"/>
          <w:sz w:val="22"/>
          <w:szCs w:val="22"/>
        </w:rPr>
      </w:pPr>
      <w:r w:rsidRPr="00935C63">
        <w:rPr>
          <w:rFonts w:ascii="Calibri" w:hAnsi="Calibri"/>
          <w:sz w:val="22"/>
          <w:szCs w:val="22"/>
        </w:rPr>
        <w:t>HCL</w:t>
      </w:r>
      <w:r w:rsidR="001766DF" w:rsidRPr="00935C63">
        <w:rPr>
          <w:rFonts w:ascii="Calibri" w:hAnsi="Calibri"/>
          <w:sz w:val="22"/>
          <w:szCs w:val="22"/>
        </w:rPr>
        <w:t xml:space="preserve">’s comprehensive </w:t>
      </w:r>
      <w:r w:rsidR="00A51A0C" w:rsidRPr="00935C63">
        <w:rPr>
          <w:rFonts w:ascii="Calibri" w:hAnsi="Calibri"/>
          <w:sz w:val="22"/>
          <w:szCs w:val="22"/>
        </w:rPr>
        <w:t xml:space="preserve">privacy framework and technology </w:t>
      </w:r>
      <w:r w:rsidR="001766DF" w:rsidRPr="00935C63">
        <w:rPr>
          <w:rFonts w:ascii="Calibri" w:hAnsi="Calibri"/>
          <w:sz w:val="22"/>
          <w:szCs w:val="22"/>
        </w:rPr>
        <w:t xml:space="preserve">solutions </w:t>
      </w:r>
      <w:r w:rsidR="00BA4A98" w:rsidRPr="00935C63">
        <w:rPr>
          <w:rFonts w:ascii="Calibri" w:hAnsi="Calibri"/>
          <w:sz w:val="22"/>
          <w:szCs w:val="22"/>
        </w:rPr>
        <w:t>are aimed at helping organiz</w:t>
      </w:r>
      <w:r w:rsidRPr="00935C63">
        <w:rPr>
          <w:rFonts w:ascii="Calibri" w:hAnsi="Calibri"/>
          <w:sz w:val="22"/>
          <w:szCs w:val="22"/>
        </w:rPr>
        <w:t>ations to be prepared for the new obligations and requirements that the regulation will bring. With this regulation, the EU aims to give its citizens more control over how their personal data is used as well as provide businesses with a clearer legal structure with which to operate by standardising across the EU.</w:t>
      </w:r>
      <w:r w:rsidR="001766DF" w:rsidRPr="00935C63">
        <w:rPr>
          <w:rFonts w:ascii="Calibri" w:hAnsi="Calibri"/>
          <w:sz w:val="22"/>
          <w:szCs w:val="22"/>
        </w:rPr>
        <w:t xml:space="preserve"> </w:t>
      </w:r>
      <w:r w:rsidR="00113329" w:rsidRPr="00935C63">
        <w:rPr>
          <w:rFonts w:ascii="Calibri" w:hAnsi="Calibri"/>
          <w:sz w:val="22"/>
          <w:szCs w:val="22"/>
        </w:rPr>
        <w:t>HCL’s new service proposition</w:t>
      </w:r>
      <w:r w:rsidR="006414C6" w:rsidRPr="00935C63">
        <w:rPr>
          <w:rFonts w:ascii="Calibri" w:hAnsi="Calibri"/>
          <w:sz w:val="22"/>
          <w:szCs w:val="22"/>
        </w:rPr>
        <w:t xml:space="preserve"> fo</w:t>
      </w:r>
      <w:r w:rsidR="009E4A87" w:rsidRPr="00935C63">
        <w:rPr>
          <w:rFonts w:ascii="Calibri" w:hAnsi="Calibri"/>
          <w:sz w:val="22"/>
          <w:szCs w:val="22"/>
        </w:rPr>
        <w:t>cuses on assisting the customer</w:t>
      </w:r>
      <w:r w:rsidR="006414C6" w:rsidRPr="00935C63">
        <w:rPr>
          <w:rFonts w:ascii="Calibri" w:hAnsi="Calibri"/>
          <w:sz w:val="22"/>
          <w:szCs w:val="22"/>
        </w:rPr>
        <w:t>s</w:t>
      </w:r>
      <w:r w:rsidR="00113329" w:rsidRPr="00935C63">
        <w:rPr>
          <w:rFonts w:ascii="Calibri" w:hAnsi="Calibri"/>
          <w:sz w:val="22"/>
          <w:szCs w:val="22"/>
        </w:rPr>
        <w:t xml:space="preserve"> </w:t>
      </w:r>
      <w:r w:rsidR="006414C6" w:rsidRPr="00935C63">
        <w:rPr>
          <w:rFonts w:ascii="Calibri" w:hAnsi="Calibri"/>
          <w:sz w:val="22"/>
          <w:szCs w:val="22"/>
        </w:rPr>
        <w:t>in following three core areas:-</w:t>
      </w:r>
    </w:p>
    <w:p w14:paraId="386E1D22" w14:textId="53014236" w:rsidR="00A85106" w:rsidRPr="00935C63" w:rsidRDefault="00A51A0C" w:rsidP="008B6175">
      <w:pPr>
        <w:pStyle w:val="ListParagraph"/>
        <w:numPr>
          <w:ilvl w:val="0"/>
          <w:numId w:val="3"/>
        </w:numPr>
        <w:ind w:leftChars="0"/>
        <w:rPr>
          <w:rFonts w:ascii="Calibri" w:hAnsi="Calibri" w:cs="Times New Roman"/>
          <w:kern w:val="0"/>
          <w:sz w:val="22"/>
          <w:lang w:val="en-GB" w:eastAsia="en-GB"/>
        </w:rPr>
      </w:pPr>
      <w:r w:rsidRPr="00935C63">
        <w:rPr>
          <w:rFonts w:ascii="Calibri" w:hAnsi="Calibri" w:cs="Times New Roman"/>
          <w:kern w:val="0"/>
          <w:sz w:val="22"/>
          <w:lang w:val="en-GB" w:eastAsia="en-GB"/>
        </w:rPr>
        <w:t>Assist clients in c</w:t>
      </w:r>
      <w:r w:rsidR="00A85106" w:rsidRPr="00935C63">
        <w:rPr>
          <w:rFonts w:ascii="Calibri" w:hAnsi="Calibri" w:cs="Times New Roman"/>
          <w:kern w:val="0"/>
          <w:sz w:val="22"/>
          <w:lang w:val="en-GB" w:eastAsia="en-GB"/>
        </w:rPr>
        <w:t>onducting the Privacy Impact Assessment (PIA) with respect to GDPR requirements and provide the</w:t>
      </w:r>
      <w:r w:rsidR="009C2BFF" w:rsidRPr="00935C63">
        <w:rPr>
          <w:rFonts w:ascii="Calibri" w:hAnsi="Calibri" w:cs="Times New Roman"/>
          <w:kern w:val="0"/>
          <w:sz w:val="22"/>
          <w:lang w:val="en-GB" w:eastAsia="en-GB"/>
        </w:rPr>
        <w:t xml:space="preserve"> organizations</w:t>
      </w:r>
      <w:r w:rsidR="00A85106" w:rsidRPr="00935C63">
        <w:rPr>
          <w:rFonts w:ascii="Calibri" w:hAnsi="Calibri" w:cs="Times New Roman"/>
          <w:kern w:val="0"/>
          <w:sz w:val="22"/>
          <w:lang w:val="en-GB" w:eastAsia="en-GB"/>
        </w:rPr>
        <w:t xml:space="preserve"> with the information for their crafting the compliance plan</w:t>
      </w:r>
      <w:r w:rsidR="009C2BFF" w:rsidRPr="00935C63">
        <w:rPr>
          <w:rFonts w:ascii="Calibri" w:hAnsi="Calibri" w:cs="Times New Roman"/>
          <w:kern w:val="0"/>
          <w:sz w:val="22"/>
          <w:lang w:val="en-GB" w:eastAsia="en-GB"/>
        </w:rPr>
        <w:t xml:space="preserve"> and approach.</w:t>
      </w:r>
    </w:p>
    <w:p w14:paraId="736077AB" w14:textId="180DA7A6" w:rsidR="00A85106" w:rsidRPr="00935C63" w:rsidRDefault="004165AB" w:rsidP="008B6175">
      <w:pPr>
        <w:pStyle w:val="ListParagraph"/>
        <w:numPr>
          <w:ilvl w:val="0"/>
          <w:numId w:val="3"/>
        </w:numPr>
        <w:ind w:leftChars="0"/>
        <w:rPr>
          <w:rFonts w:ascii="Calibri" w:hAnsi="Calibri" w:cs="Times New Roman"/>
          <w:kern w:val="0"/>
          <w:sz w:val="22"/>
          <w:lang w:val="en-GB" w:eastAsia="en-GB"/>
        </w:rPr>
      </w:pPr>
      <w:r w:rsidRPr="00935C63">
        <w:rPr>
          <w:rFonts w:ascii="Calibri" w:hAnsi="Calibri" w:cs="Times New Roman"/>
          <w:kern w:val="0"/>
          <w:sz w:val="22"/>
          <w:lang w:val="en-GB" w:eastAsia="en-GB"/>
        </w:rPr>
        <w:t>In conjunction with the client’s legal &amp; privacy compliance group, i</w:t>
      </w:r>
      <w:r w:rsidR="00640258" w:rsidRPr="00935C63">
        <w:rPr>
          <w:rFonts w:ascii="Calibri" w:hAnsi="Calibri" w:cs="Times New Roman"/>
          <w:kern w:val="0"/>
          <w:sz w:val="22"/>
          <w:lang w:val="en-GB" w:eastAsia="en-GB"/>
        </w:rPr>
        <w:t xml:space="preserve">dentify gaps post </w:t>
      </w:r>
      <w:r w:rsidR="009E4A87" w:rsidRPr="00935C63">
        <w:rPr>
          <w:rFonts w:ascii="Calibri" w:hAnsi="Calibri" w:cs="Times New Roman"/>
          <w:kern w:val="0"/>
          <w:sz w:val="22"/>
          <w:lang w:val="en-GB" w:eastAsia="en-GB"/>
        </w:rPr>
        <w:t xml:space="preserve">privacy </w:t>
      </w:r>
      <w:r w:rsidR="00773ADE" w:rsidRPr="00935C63">
        <w:rPr>
          <w:rFonts w:ascii="Calibri" w:hAnsi="Calibri" w:cs="Times New Roman"/>
          <w:kern w:val="0"/>
          <w:sz w:val="22"/>
          <w:lang w:val="en-GB" w:eastAsia="en-GB"/>
        </w:rPr>
        <w:t>assessment</w:t>
      </w:r>
      <w:r w:rsidR="00A85106" w:rsidRPr="00935C63">
        <w:rPr>
          <w:rFonts w:ascii="Calibri" w:hAnsi="Calibri" w:cs="Times New Roman"/>
          <w:kern w:val="0"/>
          <w:sz w:val="22"/>
          <w:lang w:val="en-GB" w:eastAsia="en-GB"/>
        </w:rPr>
        <w:t xml:space="preserve"> and prioritize &amp; assist in implementing process &amp; technology measures</w:t>
      </w:r>
      <w:r w:rsidR="00A51A0C" w:rsidRPr="00935C63">
        <w:rPr>
          <w:rFonts w:ascii="Calibri" w:hAnsi="Calibri" w:cs="Times New Roman"/>
          <w:kern w:val="0"/>
          <w:sz w:val="22"/>
          <w:lang w:val="en-GB" w:eastAsia="en-GB"/>
        </w:rPr>
        <w:t xml:space="preserve"> that organizations must consider arising from GDPR</w:t>
      </w:r>
      <w:r w:rsidR="00A85106" w:rsidRPr="00935C63">
        <w:rPr>
          <w:rFonts w:ascii="Calibri" w:hAnsi="Calibri" w:cs="Times New Roman"/>
          <w:kern w:val="0"/>
          <w:sz w:val="22"/>
          <w:lang w:val="en-GB" w:eastAsia="en-GB"/>
        </w:rPr>
        <w:t xml:space="preserve"> to address </w:t>
      </w:r>
      <w:r w:rsidR="00A51A0C" w:rsidRPr="00935C63">
        <w:rPr>
          <w:rFonts w:ascii="Calibri" w:hAnsi="Calibri" w:cs="Times New Roman"/>
          <w:kern w:val="0"/>
          <w:sz w:val="22"/>
          <w:lang w:val="en-GB" w:eastAsia="en-GB"/>
        </w:rPr>
        <w:t xml:space="preserve">technology controls &amp; </w:t>
      </w:r>
      <w:r w:rsidR="00A85106" w:rsidRPr="00935C63">
        <w:rPr>
          <w:rFonts w:ascii="Calibri" w:hAnsi="Calibri" w:cs="Times New Roman"/>
          <w:kern w:val="0"/>
          <w:sz w:val="22"/>
          <w:lang w:val="en-GB" w:eastAsia="en-GB"/>
        </w:rPr>
        <w:t xml:space="preserve">compliance </w:t>
      </w:r>
      <w:r w:rsidR="00A51A0C" w:rsidRPr="00935C63">
        <w:rPr>
          <w:rFonts w:ascii="Calibri" w:hAnsi="Calibri" w:cs="Times New Roman"/>
          <w:kern w:val="0"/>
          <w:sz w:val="22"/>
          <w:lang w:val="en-GB" w:eastAsia="en-GB"/>
        </w:rPr>
        <w:t>requirements</w:t>
      </w:r>
      <w:r w:rsidR="00A85106" w:rsidRPr="00935C63">
        <w:rPr>
          <w:rFonts w:ascii="Calibri" w:hAnsi="Calibri" w:cs="Times New Roman"/>
          <w:kern w:val="0"/>
          <w:sz w:val="22"/>
          <w:lang w:val="en-GB" w:eastAsia="en-GB"/>
        </w:rPr>
        <w:t>.</w:t>
      </w:r>
    </w:p>
    <w:p w14:paraId="56DBBE8D" w14:textId="4996EEF2" w:rsidR="00A85106" w:rsidRPr="00935C63" w:rsidRDefault="00A85106" w:rsidP="008B6175">
      <w:pPr>
        <w:pStyle w:val="ListParagraph"/>
        <w:numPr>
          <w:ilvl w:val="0"/>
          <w:numId w:val="3"/>
        </w:numPr>
        <w:ind w:leftChars="0"/>
        <w:rPr>
          <w:rFonts w:ascii="Calibri" w:hAnsi="Calibri" w:cs="Times New Roman"/>
          <w:kern w:val="0"/>
          <w:sz w:val="22"/>
          <w:lang w:val="en-GB" w:eastAsia="en-GB"/>
        </w:rPr>
      </w:pPr>
      <w:r w:rsidRPr="00935C63">
        <w:rPr>
          <w:rFonts w:ascii="Calibri" w:hAnsi="Calibri" w:cs="Times New Roman"/>
          <w:kern w:val="0"/>
          <w:sz w:val="22"/>
          <w:lang w:val="en-GB" w:eastAsia="en-GB"/>
        </w:rPr>
        <w:t xml:space="preserve">Monitor and operate compliance status through </w:t>
      </w:r>
      <w:r w:rsidR="009C2BFF" w:rsidRPr="00935C63">
        <w:rPr>
          <w:rFonts w:ascii="Calibri" w:hAnsi="Calibri" w:cs="Times New Roman"/>
          <w:kern w:val="0"/>
          <w:sz w:val="22"/>
          <w:lang w:val="en-GB" w:eastAsia="en-GB"/>
        </w:rPr>
        <w:t xml:space="preserve">technology solutions and </w:t>
      </w:r>
      <w:r w:rsidRPr="00935C63">
        <w:rPr>
          <w:rFonts w:ascii="Calibri" w:hAnsi="Calibri" w:cs="Times New Roman"/>
          <w:kern w:val="0"/>
          <w:sz w:val="22"/>
          <w:lang w:val="en-GB" w:eastAsia="en-GB"/>
        </w:rPr>
        <w:t>system</w:t>
      </w:r>
      <w:r w:rsidR="009C2BFF" w:rsidRPr="00935C63">
        <w:rPr>
          <w:rFonts w:ascii="Calibri" w:hAnsi="Calibri" w:cs="Times New Roman"/>
          <w:kern w:val="0"/>
          <w:sz w:val="22"/>
          <w:lang w:val="en-GB" w:eastAsia="en-GB"/>
        </w:rPr>
        <w:t>s.</w:t>
      </w:r>
    </w:p>
    <w:p w14:paraId="472A028F" w14:textId="77777777" w:rsidR="00A85106" w:rsidRPr="00935C63" w:rsidRDefault="00A85106" w:rsidP="009776F4">
      <w:pPr>
        <w:jc w:val="both"/>
        <w:rPr>
          <w:rFonts w:ascii="Calibri" w:hAnsi="Calibri"/>
          <w:sz w:val="22"/>
          <w:szCs w:val="22"/>
        </w:rPr>
      </w:pPr>
    </w:p>
    <w:p w14:paraId="3EB455EB" w14:textId="09B351C2" w:rsidR="001766DF" w:rsidRPr="00935C63" w:rsidRDefault="006414C6" w:rsidP="009776F4">
      <w:pPr>
        <w:jc w:val="both"/>
        <w:rPr>
          <w:rFonts w:ascii="Calibri" w:eastAsia="Times New Roman" w:hAnsi="Calibri"/>
          <w:sz w:val="22"/>
          <w:szCs w:val="22"/>
        </w:rPr>
      </w:pPr>
      <w:r w:rsidRPr="00935C63">
        <w:rPr>
          <w:rFonts w:ascii="Calibri" w:hAnsi="Calibri"/>
          <w:sz w:val="22"/>
          <w:szCs w:val="22"/>
        </w:rPr>
        <w:t>The EU General Data Protection Regulation (GDPR) aims to protect all EU citizens from privacy and data breaches in an increasingly data-driven world</w:t>
      </w:r>
      <w:r w:rsidR="003F1EEA" w:rsidRPr="00935C63">
        <w:rPr>
          <w:rFonts w:ascii="Calibri" w:hAnsi="Calibri"/>
          <w:sz w:val="22"/>
          <w:szCs w:val="22"/>
        </w:rPr>
        <w:t xml:space="preserve">. The solutions </w:t>
      </w:r>
      <w:r w:rsidR="0048289F" w:rsidRPr="00935C63">
        <w:rPr>
          <w:rFonts w:ascii="Calibri" w:hAnsi="Calibri"/>
          <w:sz w:val="22"/>
          <w:szCs w:val="22"/>
        </w:rPr>
        <w:t>involve</w:t>
      </w:r>
      <w:r w:rsidR="003F1EEA" w:rsidRPr="00935C63">
        <w:rPr>
          <w:rFonts w:ascii="Calibri" w:hAnsi="Calibri"/>
          <w:sz w:val="22"/>
          <w:szCs w:val="22"/>
        </w:rPr>
        <w:t xml:space="preserve"> monitoring and operation of </w:t>
      </w:r>
      <w:r w:rsidR="003F1EEA" w:rsidRPr="00935C63">
        <w:rPr>
          <w:rFonts w:ascii="Calibri" w:hAnsi="Calibri"/>
          <w:sz w:val="22"/>
          <w:szCs w:val="22"/>
        </w:rPr>
        <w:lastRenderedPageBreak/>
        <w:t xml:space="preserve">compliance </w:t>
      </w:r>
      <w:r w:rsidR="00D60F49" w:rsidRPr="00935C63">
        <w:rPr>
          <w:rFonts w:ascii="Calibri" w:hAnsi="Calibri"/>
          <w:sz w:val="22"/>
          <w:szCs w:val="22"/>
        </w:rPr>
        <w:t>includes system</w:t>
      </w:r>
      <w:r w:rsidR="003F1EEA" w:rsidRPr="00935C63">
        <w:rPr>
          <w:rFonts w:ascii="Calibri" w:hAnsi="Calibri"/>
          <w:sz w:val="22"/>
          <w:szCs w:val="22"/>
        </w:rPr>
        <w:t xml:space="preserve"> operation and privacy d</w:t>
      </w:r>
      <w:r w:rsidR="00FF166E" w:rsidRPr="00935C63">
        <w:rPr>
          <w:rFonts w:ascii="Calibri" w:hAnsi="Calibri"/>
          <w:sz w:val="22"/>
          <w:szCs w:val="22"/>
        </w:rPr>
        <w:t>ata surveillance, enabling</w:t>
      </w:r>
      <w:r w:rsidR="00640258" w:rsidRPr="00935C63">
        <w:rPr>
          <w:rFonts w:ascii="Calibri" w:hAnsi="Calibri"/>
          <w:sz w:val="22"/>
          <w:szCs w:val="22"/>
        </w:rPr>
        <w:t xml:space="preserve"> </w:t>
      </w:r>
      <w:r w:rsidR="003F1EEA" w:rsidRPr="00935C63">
        <w:rPr>
          <w:rFonts w:ascii="Calibri" w:hAnsi="Calibri"/>
          <w:sz w:val="22"/>
          <w:szCs w:val="22"/>
        </w:rPr>
        <w:t>detect</w:t>
      </w:r>
      <w:r w:rsidR="00FF166E" w:rsidRPr="00935C63">
        <w:rPr>
          <w:rFonts w:ascii="Calibri" w:hAnsi="Calibri"/>
          <w:sz w:val="22"/>
          <w:szCs w:val="22"/>
        </w:rPr>
        <w:t>ion and response</w:t>
      </w:r>
      <w:r w:rsidR="003F1EEA" w:rsidRPr="00935C63">
        <w:rPr>
          <w:rFonts w:ascii="Calibri" w:hAnsi="Calibri"/>
          <w:sz w:val="22"/>
          <w:szCs w:val="22"/>
        </w:rPr>
        <w:t xml:space="preserve"> without delay when data infringement occurs.</w:t>
      </w:r>
      <w:r w:rsidR="001766DF" w:rsidRPr="00935C63">
        <w:rPr>
          <w:rFonts w:ascii="Calibri" w:eastAsia="Times New Roman" w:hAnsi="Calibri" w:cs="Arial"/>
          <w:sz w:val="22"/>
          <w:szCs w:val="22"/>
        </w:rPr>
        <w:t xml:space="preserve"> </w:t>
      </w:r>
    </w:p>
    <w:p w14:paraId="696955B8" w14:textId="77777777" w:rsidR="00984FB8" w:rsidRPr="00935C63" w:rsidRDefault="00984FB8" w:rsidP="009776F4">
      <w:pPr>
        <w:jc w:val="both"/>
        <w:rPr>
          <w:rFonts w:ascii="Calibri" w:hAnsi="Calibri"/>
          <w:sz w:val="22"/>
          <w:szCs w:val="22"/>
        </w:rPr>
      </w:pPr>
    </w:p>
    <w:p w14:paraId="6EDD2760" w14:textId="518F6411" w:rsidR="00813852" w:rsidRPr="00935C63" w:rsidRDefault="00813852" w:rsidP="009776F4">
      <w:pPr>
        <w:widowControl w:val="0"/>
        <w:tabs>
          <w:tab w:val="left" w:pos="220"/>
          <w:tab w:val="left" w:pos="720"/>
        </w:tabs>
        <w:autoSpaceDE w:val="0"/>
        <w:autoSpaceDN w:val="0"/>
        <w:adjustRightInd w:val="0"/>
        <w:spacing w:after="240" w:line="280" w:lineRule="atLeast"/>
        <w:jc w:val="both"/>
        <w:rPr>
          <w:rFonts w:ascii="Calibri" w:hAnsi="Calibri"/>
          <w:sz w:val="22"/>
          <w:szCs w:val="22"/>
        </w:rPr>
      </w:pPr>
      <w:r w:rsidRPr="00935C63">
        <w:rPr>
          <w:rFonts w:ascii="Calibri" w:hAnsi="Calibri"/>
          <w:sz w:val="22"/>
          <w:szCs w:val="22"/>
        </w:rPr>
        <w:t>HCL’s Cybersecurity &amp; GRC services bring together Consult, Design, Build and Manage services to provide 360° resilience to enterprises. These services are offered across the domains of Infrastructure Security; Applications Security; Identity Access &amp; Management and Governance, Risk &amp; Compliance.</w:t>
      </w:r>
    </w:p>
    <w:p w14:paraId="534628FD" w14:textId="77777777" w:rsidR="00773ADE" w:rsidRPr="00935C63" w:rsidRDefault="00136749" w:rsidP="009776F4">
      <w:pPr>
        <w:pStyle w:val="NormalWeb"/>
        <w:jc w:val="both"/>
        <w:rPr>
          <w:rFonts w:ascii="Calibri" w:hAnsi="Calibri"/>
          <w:sz w:val="22"/>
          <w:szCs w:val="22"/>
        </w:rPr>
      </w:pPr>
      <w:r w:rsidRPr="00935C63">
        <w:rPr>
          <w:rFonts w:ascii="Calibri" w:hAnsi="Calibri"/>
          <w:b/>
          <w:bCs/>
          <w:sz w:val="22"/>
          <w:szCs w:val="22"/>
        </w:rPr>
        <w:t>About HCL Technologies</w:t>
      </w:r>
    </w:p>
    <w:p w14:paraId="11278913" w14:textId="459F5FC1" w:rsidR="00136749" w:rsidRPr="00935C63" w:rsidRDefault="00136749" w:rsidP="009776F4">
      <w:pPr>
        <w:pStyle w:val="NormalWeb"/>
        <w:jc w:val="both"/>
        <w:rPr>
          <w:rFonts w:ascii="Calibri" w:hAnsi="Calibri"/>
          <w:sz w:val="22"/>
          <w:szCs w:val="22"/>
        </w:rPr>
      </w:pPr>
      <w:r w:rsidRPr="00935C63">
        <w:rPr>
          <w:rFonts w:ascii="Calibri" w:hAnsi="Calibri"/>
          <w:sz w:val="22"/>
          <w:szCs w:val="22"/>
        </w:rPr>
        <w:t xml:space="preserve">HCL Technologies (HCL) is a leading global IT services company that helps global enterprises re–imagine and transform their businesses through Digital technology transformation. HCL operates out of 32 countries and has </w:t>
      </w:r>
      <w:r w:rsidR="009E4A87" w:rsidRPr="00935C63">
        <w:rPr>
          <w:rFonts w:ascii="Calibri" w:hAnsi="Calibri"/>
          <w:sz w:val="22"/>
          <w:szCs w:val="22"/>
        </w:rPr>
        <w:t>consolidated revenues of US$ 7</w:t>
      </w:r>
      <w:r w:rsidRPr="00935C63">
        <w:rPr>
          <w:rFonts w:ascii="Calibri" w:hAnsi="Calibri"/>
          <w:sz w:val="22"/>
          <w:szCs w:val="22"/>
        </w:rPr>
        <w:t xml:space="preserve"> billion, for 12 months ended 31</w:t>
      </w:r>
      <w:r w:rsidRPr="00935C63">
        <w:rPr>
          <w:rFonts w:ascii="Calibri" w:hAnsi="Calibri"/>
          <w:sz w:val="22"/>
          <w:szCs w:val="22"/>
          <w:vertAlign w:val="superscript"/>
        </w:rPr>
        <w:t>st</w:t>
      </w:r>
      <w:r w:rsidR="0048289F" w:rsidRPr="00935C63">
        <w:rPr>
          <w:rFonts w:ascii="Calibri" w:hAnsi="Calibri"/>
          <w:sz w:val="22"/>
          <w:szCs w:val="22"/>
        </w:rPr>
        <w:t xml:space="preserve"> </w:t>
      </w:r>
      <w:r w:rsidR="00773ADE" w:rsidRPr="00935C63">
        <w:rPr>
          <w:rFonts w:ascii="Calibri" w:hAnsi="Calibri"/>
          <w:sz w:val="22"/>
          <w:szCs w:val="22"/>
        </w:rPr>
        <w:t>March</w:t>
      </w:r>
      <w:r w:rsidR="009E4A87" w:rsidRPr="00935C63">
        <w:rPr>
          <w:rFonts w:ascii="Calibri" w:hAnsi="Calibri"/>
          <w:sz w:val="22"/>
          <w:szCs w:val="22"/>
        </w:rPr>
        <w:t xml:space="preserve"> 2017</w:t>
      </w:r>
      <w:r w:rsidRPr="00935C63">
        <w:rPr>
          <w:rFonts w:ascii="Calibri" w:hAnsi="Calibri"/>
          <w:sz w:val="22"/>
          <w:szCs w:val="22"/>
        </w:rPr>
        <w:t xml:space="preserve">. HCL focuses on providing an integrated portfolio of services underlined by its Mode 1–2–3 growth strategy. Mode 1 encompasses the core services in the areas of Applications, Infrastructure, BPO and Engineering &amp; R&amp;D services, leveraging </w:t>
      </w:r>
      <w:r w:rsidR="00773ADE" w:rsidRPr="00935C63">
        <w:rPr>
          <w:rFonts w:ascii="Calibri" w:hAnsi="Calibri"/>
          <w:sz w:val="22"/>
          <w:szCs w:val="22"/>
        </w:rPr>
        <w:t>Dried</w:t>
      </w:r>
      <w:r w:rsidRPr="00935C63">
        <w:rPr>
          <w:rFonts w:ascii="Calibri" w:hAnsi="Calibri"/>
          <w:sz w:val="22"/>
          <w:szCs w:val="22"/>
        </w:rPr>
        <w:t xml:space="preserve"> Autonomics to transform clients' business and IT landscape, making them 'lean' and 'agile'. Mode 2 focuses on experience–centric and outcome–oriented services such as Digital and Analytics Services, IoT </w:t>
      </w:r>
      <w:proofErr w:type="spellStart"/>
      <w:r w:rsidRPr="00935C63">
        <w:rPr>
          <w:rFonts w:ascii="Calibri" w:hAnsi="Calibri"/>
          <w:sz w:val="22"/>
          <w:szCs w:val="22"/>
        </w:rPr>
        <w:t>WorKS</w:t>
      </w:r>
      <w:r w:rsidR="0048289F" w:rsidRPr="00935C63">
        <w:rPr>
          <w:rFonts w:ascii="Calibri" w:hAnsi="Calibri"/>
          <w:sz w:val="22"/>
          <w:szCs w:val="22"/>
          <w:vertAlign w:val="superscript"/>
        </w:rPr>
        <w:t>TM</w:t>
      </w:r>
      <w:proofErr w:type="spellEnd"/>
      <w:r w:rsidRPr="00935C63">
        <w:rPr>
          <w:rFonts w:ascii="Calibri" w:hAnsi="Calibri"/>
          <w:sz w:val="22"/>
          <w:szCs w:val="22"/>
        </w:rPr>
        <w:t>, Cloud and Security, utilizing DRYiCE</w:t>
      </w:r>
      <w:r w:rsidRPr="00935C63">
        <w:rPr>
          <w:rFonts w:ascii="Calibri" w:hAnsi="Calibri"/>
          <w:sz w:val="22"/>
          <w:szCs w:val="22"/>
          <w:vertAlign w:val="superscript"/>
        </w:rPr>
        <w:t>TM</w:t>
      </w:r>
      <w:r w:rsidRPr="00935C63">
        <w:rPr>
          <w:rFonts w:ascii="Calibri" w:hAnsi="Calibri"/>
          <w:sz w:val="22"/>
          <w:szCs w:val="22"/>
        </w:rPr>
        <w:t> Orchestration to drive business outcomes and enable enterprise digitalization. Mode 3 strategy is ecosystem–driven, creating innovative IP–partnerships to build products and platforms business.</w:t>
      </w:r>
    </w:p>
    <w:p w14:paraId="34C26995" w14:textId="46A7A54A" w:rsidR="00136749" w:rsidRPr="00935C63" w:rsidRDefault="00136749" w:rsidP="009776F4">
      <w:pPr>
        <w:pStyle w:val="NormalWeb"/>
        <w:jc w:val="both"/>
        <w:rPr>
          <w:rFonts w:ascii="Calibri" w:hAnsi="Calibri"/>
          <w:sz w:val="22"/>
          <w:szCs w:val="22"/>
        </w:rPr>
      </w:pPr>
      <w:r w:rsidRPr="00935C63">
        <w:rPr>
          <w:rFonts w:ascii="Calibri" w:hAnsi="Calibri"/>
          <w:sz w:val="22"/>
          <w:szCs w:val="22"/>
        </w:rPr>
        <w:t>HCL leverages its global network of integrated co-innovation labs, and global delivery capabilities to provide holistic multi–service delivery in key industry verticals including Financial Services, Manufacturing, Telecommunications, Media, Publishing, Entertainment, Retail CPG, Life Sciences Healthcare, Oil &amp; Gas, Energy &amp; Utilities, Travel, Transportation &amp; Lo</w:t>
      </w:r>
      <w:r w:rsidR="009E4A87" w:rsidRPr="00935C63">
        <w:rPr>
          <w:rFonts w:ascii="Calibri" w:hAnsi="Calibri"/>
          <w:sz w:val="22"/>
          <w:szCs w:val="22"/>
        </w:rPr>
        <w:t>gistics and Government. With 115</w:t>
      </w:r>
      <w:r w:rsidR="00B65619" w:rsidRPr="00935C63">
        <w:rPr>
          <w:rFonts w:ascii="Calibri" w:hAnsi="Calibri"/>
          <w:sz w:val="22"/>
          <w:szCs w:val="22"/>
        </w:rPr>
        <w:t>,973</w:t>
      </w:r>
      <w:r w:rsidRPr="00935C63">
        <w:rPr>
          <w:rFonts w:ascii="Calibri" w:hAnsi="Calibri"/>
          <w:sz w:val="22"/>
          <w:szCs w:val="22"/>
        </w:rPr>
        <w:t xml:space="preserve"> professionals from diverse nationalities, HCL focuses on creating real value for customers by taking 'Relationships </w:t>
      </w:r>
      <w:proofErr w:type="gramStart"/>
      <w:r w:rsidRPr="00935C63">
        <w:rPr>
          <w:rFonts w:ascii="Calibri" w:hAnsi="Calibri"/>
          <w:sz w:val="22"/>
          <w:szCs w:val="22"/>
        </w:rPr>
        <w:t>Beyond</w:t>
      </w:r>
      <w:proofErr w:type="gramEnd"/>
      <w:r w:rsidRPr="00935C63">
        <w:rPr>
          <w:rFonts w:ascii="Calibri" w:hAnsi="Calibri"/>
          <w:sz w:val="22"/>
          <w:szCs w:val="22"/>
        </w:rPr>
        <w:t xml:space="preserve"> the Contract'. For more information, please visit </w:t>
      </w:r>
      <w:proofErr w:type="spellStart"/>
      <w:r w:rsidR="00C02345" w:rsidRPr="00935C63">
        <w:fldChar w:fldCharType="begin"/>
      </w:r>
      <w:r w:rsidR="00C02345" w:rsidRPr="00935C63">
        <w:instrText xml:space="preserve"> HYPERLINK "http://www.hcltech.com/" </w:instrText>
      </w:r>
      <w:r w:rsidR="00C02345" w:rsidRPr="00935C63">
        <w:fldChar w:fldCharType="separate"/>
      </w:r>
      <w:r w:rsidRPr="00935C63">
        <w:rPr>
          <w:rFonts w:ascii="Calibri" w:hAnsi="Calibri"/>
          <w:sz w:val="22"/>
          <w:szCs w:val="22"/>
        </w:rPr>
        <w:t>www.hcltech.com</w:t>
      </w:r>
      <w:proofErr w:type="spellEnd"/>
      <w:r w:rsidR="00C02345" w:rsidRPr="00935C63">
        <w:rPr>
          <w:rFonts w:ascii="Calibri" w:hAnsi="Calibri"/>
          <w:sz w:val="22"/>
          <w:szCs w:val="22"/>
        </w:rPr>
        <w:fldChar w:fldCharType="end"/>
      </w:r>
    </w:p>
    <w:p w14:paraId="1553ECB7" w14:textId="3D933146" w:rsidR="0048289F" w:rsidRPr="00935C63" w:rsidRDefault="00640AC0" w:rsidP="009776F4">
      <w:pPr>
        <w:pStyle w:val="NormalWeb"/>
        <w:jc w:val="both"/>
        <w:rPr>
          <w:rFonts w:ascii="Calibri" w:hAnsi="Calibri"/>
          <w:sz w:val="22"/>
          <w:szCs w:val="22"/>
        </w:rPr>
      </w:pPr>
      <w:r w:rsidRPr="00935C63">
        <w:rPr>
          <w:rFonts w:ascii="Calibri" w:hAnsi="Calibri"/>
          <w:sz w:val="22"/>
          <w:szCs w:val="22"/>
        </w:rPr>
        <w:t>For more Information, please contact:-</w:t>
      </w:r>
    </w:p>
    <w:p w14:paraId="7B963C74" w14:textId="77777777" w:rsidR="0035078E" w:rsidRPr="00935C63" w:rsidRDefault="0035078E" w:rsidP="009776F4">
      <w:pPr>
        <w:pStyle w:val="NormalWeb"/>
        <w:spacing w:before="0" w:beforeAutospacing="0" w:after="0" w:afterAutospacing="0"/>
        <w:jc w:val="both"/>
        <w:rPr>
          <w:rFonts w:ascii="Calibri" w:hAnsi="Calibri"/>
          <w:b/>
          <w:sz w:val="22"/>
          <w:szCs w:val="22"/>
        </w:rPr>
      </w:pPr>
      <w:r w:rsidRPr="00935C63">
        <w:rPr>
          <w:rFonts w:ascii="Calibri" w:hAnsi="Calibri"/>
          <w:b/>
          <w:sz w:val="22"/>
          <w:szCs w:val="22"/>
        </w:rPr>
        <w:t>HCL Technologies</w:t>
      </w:r>
    </w:p>
    <w:p w14:paraId="52D61DF9" w14:textId="4D9A2D12" w:rsidR="00640AC0" w:rsidRPr="00935C63" w:rsidRDefault="00773ADE" w:rsidP="009776F4">
      <w:pPr>
        <w:pStyle w:val="NormalWeb"/>
        <w:spacing w:before="0" w:beforeAutospacing="0" w:after="0" w:afterAutospacing="0"/>
        <w:jc w:val="both"/>
        <w:rPr>
          <w:rFonts w:ascii="Calibri" w:hAnsi="Calibri"/>
          <w:sz w:val="22"/>
          <w:szCs w:val="22"/>
        </w:rPr>
      </w:pPr>
      <w:r w:rsidRPr="00935C63">
        <w:rPr>
          <w:rFonts w:ascii="Calibri" w:hAnsi="Calibri"/>
          <w:sz w:val="22"/>
          <w:szCs w:val="22"/>
        </w:rPr>
        <w:t>Kunal Takalkar</w:t>
      </w:r>
    </w:p>
    <w:p w14:paraId="0A770099" w14:textId="7899DA8E" w:rsidR="00640AC0" w:rsidRPr="00935C63" w:rsidRDefault="005E6E5E" w:rsidP="009776F4">
      <w:pPr>
        <w:pStyle w:val="NormalWeb"/>
        <w:spacing w:before="0" w:beforeAutospacing="0" w:after="0" w:afterAutospacing="0"/>
        <w:jc w:val="both"/>
        <w:rPr>
          <w:rFonts w:ascii="Calibri" w:hAnsi="Calibri"/>
          <w:sz w:val="22"/>
          <w:szCs w:val="22"/>
        </w:rPr>
      </w:pPr>
      <w:hyperlink r:id="rId8" w:history="1">
        <w:proofErr w:type="spellStart"/>
        <w:r w:rsidR="0035078E" w:rsidRPr="00935C63">
          <w:rPr>
            <w:rStyle w:val="Hyperlink"/>
            <w:rFonts w:ascii="Calibri" w:hAnsi="Calibri"/>
            <w:color w:val="auto"/>
            <w:sz w:val="22"/>
            <w:szCs w:val="22"/>
          </w:rPr>
          <w:t>Kunal.takalkar@hcl.com</w:t>
        </w:r>
        <w:proofErr w:type="spellEnd"/>
      </w:hyperlink>
      <w:r w:rsidR="0035078E" w:rsidRPr="00935C63">
        <w:rPr>
          <w:rFonts w:ascii="Calibri" w:hAnsi="Calibri"/>
          <w:sz w:val="22"/>
          <w:szCs w:val="22"/>
        </w:rPr>
        <w:t xml:space="preserve"> </w:t>
      </w:r>
    </w:p>
    <w:sectPr w:rsidR="00640AC0" w:rsidRPr="00935C63" w:rsidSect="00640AC0">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altName w:val="MS Mincho"/>
    <w:charset w:val="80"/>
    <w:family w:val="auto"/>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altName w:val="MS Mincho"/>
    <w:charset w:val="80"/>
    <w:family w:val="auto"/>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43329"/>
    <w:multiLevelType w:val="hybridMultilevel"/>
    <w:tmpl w:val="E10E83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21932C0"/>
    <w:multiLevelType w:val="hybridMultilevel"/>
    <w:tmpl w:val="793C9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06"/>
    <w:rsid w:val="00036D90"/>
    <w:rsid w:val="00081478"/>
    <w:rsid w:val="000877F4"/>
    <w:rsid w:val="00094A59"/>
    <w:rsid w:val="00095153"/>
    <w:rsid w:val="000A0607"/>
    <w:rsid w:val="000F3037"/>
    <w:rsid w:val="00113329"/>
    <w:rsid w:val="001133A7"/>
    <w:rsid w:val="00131D8B"/>
    <w:rsid w:val="00136749"/>
    <w:rsid w:val="00142C0A"/>
    <w:rsid w:val="001766DF"/>
    <w:rsid w:val="00193EF5"/>
    <w:rsid w:val="001A46C8"/>
    <w:rsid w:val="001A5D1C"/>
    <w:rsid w:val="001F3BE5"/>
    <w:rsid w:val="002C70AF"/>
    <w:rsid w:val="002E0435"/>
    <w:rsid w:val="003174F8"/>
    <w:rsid w:val="0035078E"/>
    <w:rsid w:val="00355077"/>
    <w:rsid w:val="003663AF"/>
    <w:rsid w:val="003F1EEA"/>
    <w:rsid w:val="00415E3E"/>
    <w:rsid w:val="004165AB"/>
    <w:rsid w:val="0043093D"/>
    <w:rsid w:val="004424E0"/>
    <w:rsid w:val="00462B87"/>
    <w:rsid w:val="004632FB"/>
    <w:rsid w:val="00463937"/>
    <w:rsid w:val="00465D29"/>
    <w:rsid w:val="0048220F"/>
    <w:rsid w:val="0048289F"/>
    <w:rsid w:val="004F509B"/>
    <w:rsid w:val="00506843"/>
    <w:rsid w:val="005401B9"/>
    <w:rsid w:val="005A2B52"/>
    <w:rsid w:val="005D524D"/>
    <w:rsid w:val="005E6E5E"/>
    <w:rsid w:val="006031F2"/>
    <w:rsid w:val="00610568"/>
    <w:rsid w:val="00614A5C"/>
    <w:rsid w:val="00640258"/>
    <w:rsid w:val="00640AC0"/>
    <w:rsid w:val="006414C6"/>
    <w:rsid w:val="00673328"/>
    <w:rsid w:val="006C227B"/>
    <w:rsid w:val="006E3506"/>
    <w:rsid w:val="006E5DB5"/>
    <w:rsid w:val="00713223"/>
    <w:rsid w:val="00717970"/>
    <w:rsid w:val="00727E31"/>
    <w:rsid w:val="007329B4"/>
    <w:rsid w:val="00764870"/>
    <w:rsid w:val="00773ADE"/>
    <w:rsid w:val="007838A5"/>
    <w:rsid w:val="00786C25"/>
    <w:rsid w:val="007B450F"/>
    <w:rsid w:val="007C061B"/>
    <w:rsid w:val="007C48C7"/>
    <w:rsid w:val="00813852"/>
    <w:rsid w:val="00815DD2"/>
    <w:rsid w:val="008376C3"/>
    <w:rsid w:val="00860755"/>
    <w:rsid w:val="008856E3"/>
    <w:rsid w:val="0088626A"/>
    <w:rsid w:val="00897B5F"/>
    <w:rsid w:val="008A6F75"/>
    <w:rsid w:val="008B2F37"/>
    <w:rsid w:val="008B6175"/>
    <w:rsid w:val="00935C63"/>
    <w:rsid w:val="00977246"/>
    <w:rsid w:val="009776F4"/>
    <w:rsid w:val="0098294E"/>
    <w:rsid w:val="00984FB8"/>
    <w:rsid w:val="00991CCC"/>
    <w:rsid w:val="009A7423"/>
    <w:rsid w:val="009A7BBB"/>
    <w:rsid w:val="009B63D2"/>
    <w:rsid w:val="009C2BFF"/>
    <w:rsid w:val="009E4A87"/>
    <w:rsid w:val="00A15508"/>
    <w:rsid w:val="00A227B5"/>
    <w:rsid w:val="00A51A0C"/>
    <w:rsid w:val="00A64538"/>
    <w:rsid w:val="00A76ECE"/>
    <w:rsid w:val="00A85106"/>
    <w:rsid w:val="00AA4089"/>
    <w:rsid w:val="00AA4345"/>
    <w:rsid w:val="00AF291B"/>
    <w:rsid w:val="00AF64CF"/>
    <w:rsid w:val="00B075B2"/>
    <w:rsid w:val="00B15440"/>
    <w:rsid w:val="00B173D3"/>
    <w:rsid w:val="00B17D0D"/>
    <w:rsid w:val="00B65619"/>
    <w:rsid w:val="00BA4A98"/>
    <w:rsid w:val="00C02345"/>
    <w:rsid w:val="00C22483"/>
    <w:rsid w:val="00C57F95"/>
    <w:rsid w:val="00C765E7"/>
    <w:rsid w:val="00C81A67"/>
    <w:rsid w:val="00CA5F26"/>
    <w:rsid w:val="00CA7859"/>
    <w:rsid w:val="00CD59F8"/>
    <w:rsid w:val="00D60F49"/>
    <w:rsid w:val="00D61C3D"/>
    <w:rsid w:val="00D90A18"/>
    <w:rsid w:val="00D9293A"/>
    <w:rsid w:val="00DA308F"/>
    <w:rsid w:val="00DC61CA"/>
    <w:rsid w:val="00E13E78"/>
    <w:rsid w:val="00E15425"/>
    <w:rsid w:val="00E1757D"/>
    <w:rsid w:val="00E54D67"/>
    <w:rsid w:val="00E67355"/>
    <w:rsid w:val="00E90379"/>
    <w:rsid w:val="00F34A9E"/>
    <w:rsid w:val="00F7781B"/>
    <w:rsid w:val="00FC1331"/>
    <w:rsid w:val="00FF1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9216D"/>
  <w15:chartTrackingRefBased/>
  <w15:docId w15:val="{023B74A9-7DAC-4B7D-A019-354B7305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67"/>
    <w:rPr>
      <w:rFonts w:ascii="Times New Roman" w:hAnsi="Times New Roman" w:cs="Times New Roman"/>
      <w:kern w:val="0"/>
      <w:sz w:val="24"/>
      <w:szCs w:val="24"/>
      <w:lang w:val="en-GB" w:eastAsia="en-GB"/>
    </w:rPr>
  </w:style>
  <w:style w:type="paragraph" w:styleId="Heading1">
    <w:name w:val="heading 1"/>
    <w:basedOn w:val="Normal"/>
    <w:link w:val="Heading1Char"/>
    <w:uiPriority w:val="9"/>
    <w:qFormat/>
    <w:rsid w:val="00462B8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106"/>
    <w:pPr>
      <w:widowControl w:val="0"/>
      <w:ind w:leftChars="400" w:left="840"/>
      <w:jc w:val="both"/>
    </w:pPr>
    <w:rPr>
      <w:rFonts w:asciiTheme="minorHAnsi" w:hAnsiTheme="minorHAnsi" w:cstheme="minorBidi"/>
      <w:kern w:val="2"/>
      <w:sz w:val="21"/>
      <w:szCs w:val="22"/>
      <w:lang w:val="en-US" w:eastAsia="ja-JP"/>
    </w:rPr>
  </w:style>
  <w:style w:type="paragraph" w:styleId="NormalWeb">
    <w:name w:val="Normal (Web)"/>
    <w:basedOn w:val="Normal"/>
    <w:uiPriority w:val="99"/>
    <w:unhideWhenUsed/>
    <w:rsid w:val="00136749"/>
    <w:pPr>
      <w:spacing w:before="100" w:beforeAutospacing="1" w:after="100" w:afterAutospacing="1"/>
    </w:pPr>
  </w:style>
  <w:style w:type="character" w:styleId="Strong">
    <w:name w:val="Strong"/>
    <w:basedOn w:val="DefaultParagraphFont"/>
    <w:uiPriority w:val="22"/>
    <w:qFormat/>
    <w:rsid w:val="00136749"/>
    <w:rPr>
      <w:b/>
      <w:bCs/>
    </w:rPr>
  </w:style>
  <w:style w:type="character" w:customStyle="1" w:styleId="apple-converted-space">
    <w:name w:val="apple-converted-space"/>
    <w:basedOn w:val="DefaultParagraphFont"/>
    <w:rsid w:val="00136749"/>
  </w:style>
  <w:style w:type="character" w:styleId="Hyperlink">
    <w:name w:val="Hyperlink"/>
    <w:basedOn w:val="DefaultParagraphFont"/>
    <w:uiPriority w:val="99"/>
    <w:unhideWhenUsed/>
    <w:rsid w:val="00136749"/>
    <w:rPr>
      <w:color w:val="0000FF"/>
      <w:u w:val="single"/>
    </w:rPr>
  </w:style>
  <w:style w:type="character" w:customStyle="1" w:styleId="Heading1Char">
    <w:name w:val="Heading 1 Char"/>
    <w:basedOn w:val="DefaultParagraphFont"/>
    <w:link w:val="Heading1"/>
    <w:uiPriority w:val="9"/>
    <w:rsid w:val="00462B87"/>
    <w:rPr>
      <w:rFonts w:ascii="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193EF5"/>
    <w:rPr>
      <w:sz w:val="18"/>
      <w:szCs w:val="18"/>
    </w:rPr>
  </w:style>
  <w:style w:type="character" w:customStyle="1" w:styleId="BalloonTextChar">
    <w:name w:val="Balloon Text Char"/>
    <w:basedOn w:val="DefaultParagraphFont"/>
    <w:link w:val="BalloonText"/>
    <w:uiPriority w:val="99"/>
    <w:semiHidden/>
    <w:rsid w:val="00193EF5"/>
    <w:rPr>
      <w:rFonts w:ascii="Times New Roman" w:hAnsi="Times New Roman" w:cs="Times New Roman"/>
      <w:kern w:val="0"/>
      <w:sz w:val="18"/>
      <w:szCs w:val="18"/>
      <w:lang w:val="en-GB" w:eastAsia="en-GB"/>
    </w:rPr>
  </w:style>
  <w:style w:type="character" w:styleId="CommentReference">
    <w:name w:val="annotation reference"/>
    <w:basedOn w:val="DefaultParagraphFont"/>
    <w:uiPriority w:val="99"/>
    <w:semiHidden/>
    <w:unhideWhenUsed/>
    <w:rsid w:val="004165AB"/>
    <w:rPr>
      <w:sz w:val="16"/>
      <w:szCs w:val="16"/>
    </w:rPr>
  </w:style>
  <w:style w:type="paragraph" w:styleId="CommentText">
    <w:name w:val="annotation text"/>
    <w:basedOn w:val="Normal"/>
    <w:link w:val="CommentTextChar"/>
    <w:uiPriority w:val="99"/>
    <w:semiHidden/>
    <w:unhideWhenUsed/>
    <w:rsid w:val="004165AB"/>
    <w:rPr>
      <w:sz w:val="20"/>
      <w:szCs w:val="20"/>
    </w:rPr>
  </w:style>
  <w:style w:type="character" w:customStyle="1" w:styleId="CommentTextChar">
    <w:name w:val="Comment Text Char"/>
    <w:basedOn w:val="DefaultParagraphFont"/>
    <w:link w:val="CommentText"/>
    <w:uiPriority w:val="99"/>
    <w:semiHidden/>
    <w:rsid w:val="004165AB"/>
    <w:rPr>
      <w:rFonts w:ascii="Times New Roman" w:hAnsi="Times New Roman" w:cs="Times New Roman"/>
      <w:kern w:val="0"/>
      <w:sz w:val="20"/>
      <w:szCs w:val="20"/>
      <w:lang w:val="en-GB" w:eastAsia="en-GB"/>
    </w:rPr>
  </w:style>
  <w:style w:type="paragraph" w:styleId="CommentSubject">
    <w:name w:val="annotation subject"/>
    <w:basedOn w:val="CommentText"/>
    <w:next w:val="CommentText"/>
    <w:link w:val="CommentSubjectChar"/>
    <w:uiPriority w:val="99"/>
    <w:semiHidden/>
    <w:unhideWhenUsed/>
    <w:rsid w:val="004165AB"/>
    <w:rPr>
      <w:b/>
      <w:bCs/>
    </w:rPr>
  </w:style>
  <w:style w:type="character" w:customStyle="1" w:styleId="CommentSubjectChar">
    <w:name w:val="Comment Subject Char"/>
    <w:basedOn w:val="CommentTextChar"/>
    <w:link w:val="CommentSubject"/>
    <w:uiPriority w:val="99"/>
    <w:semiHidden/>
    <w:rsid w:val="004165AB"/>
    <w:rPr>
      <w:rFonts w:ascii="Times New Roman" w:hAnsi="Times New Roman" w:cs="Times New Roman"/>
      <w:b/>
      <w:bCs/>
      <w:kern w:val="0"/>
      <w:sz w:val="20"/>
      <w:szCs w:val="20"/>
      <w:lang w:val="en-GB" w:eastAsia="en-GB"/>
    </w:rPr>
  </w:style>
  <w:style w:type="paragraph" w:styleId="Revision">
    <w:name w:val="Revision"/>
    <w:hidden/>
    <w:uiPriority w:val="99"/>
    <w:semiHidden/>
    <w:rsid w:val="004165AB"/>
    <w:rPr>
      <w:rFonts w:ascii="Times New Roman" w:hAnsi="Times New Roman" w:cs="Times New Roman"/>
      <w:kern w:val="0"/>
      <w:sz w:val="24"/>
      <w:szCs w:val="24"/>
      <w:lang w:val="en-GB" w:eastAsia="en-GB"/>
    </w:rPr>
  </w:style>
  <w:style w:type="character" w:styleId="FollowedHyperlink">
    <w:name w:val="FollowedHyperlink"/>
    <w:basedOn w:val="DefaultParagraphFont"/>
    <w:uiPriority w:val="99"/>
    <w:semiHidden/>
    <w:unhideWhenUsed/>
    <w:rsid w:val="00773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0967">
      <w:bodyDiv w:val="1"/>
      <w:marLeft w:val="0"/>
      <w:marRight w:val="0"/>
      <w:marTop w:val="0"/>
      <w:marBottom w:val="0"/>
      <w:divBdr>
        <w:top w:val="none" w:sz="0" w:space="0" w:color="auto"/>
        <w:left w:val="none" w:sz="0" w:space="0" w:color="auto"/>
        <w:bottom w:val="none" w:sz="0" w:space="0" w:color="auto"/>
        <w:right w:val="none" w:sz="0" w:space="0" w:color="auto"/>
      </w:divBdr>
    </w:div>
    <w:div w:id="1021013007">
      <w:bodyDiv w:val="1"/>
      <w:marLeft w:val="0"/>
      <w:marRight w:val="0"/>
      <w:marTop w:val="0"/>
      <w:marBottom w:val="0"/>
      <w:divBdr>
        <w:top w:val="none" w:sz="0" w:space="0" w:color="auto"/>
        <w:left w:val="none" w:sz="0" w:space="0" w:color="auto"/>
        <w:bottom w:val="none" w:sz="0" w:space="0" w:color="auto"/>
        <w:right w:val="none" w:sz="0" w:space="0" w:color="auto"/>
      </w:divBdr>
    </w:div>
    <w:div w:id="1347291467">
      <w:bodyDiv w:val="1"/>
      <w:marLeft w:val="0"/>
      <w:marRight w:val="0"/>
      <w:marTop w:val="0"/>
      <w:marBottom w:val="0"/>
      <w:divBdr>
        <w:top w:val="none" w:sz="0" w:space="0" w:color="auto"/>
        <w:left w:val="none" w:sz="0" w:space="0" w:color="auto"/>
        <w:bottom w:val="none" w:sz="0" w:space="0" w:color="auto"/>
        <w:right w:val="none" w:sz="0" w:space="0" w:color="auto"/>
      </w:divBdr>
    </w:div>
    <w:div w:id="1464035929">
      <w:bodyDiv w:val="1"/>
      <w:marLeft w:val="0"/>
      <w:marRight w:val="0"/>
      <w:marTop w:val="0"/>
      <w:marBottom w:val="0"/>
      <w:divBdr>
        <w:top w:val="none" w:sz="0" w:space="0" w:color="auto"/>
        <w:left w:val="none" w:sz="0" w:space="0" w:color="auto"/>
        <w:bottom w:val="none" w:sz="0" w:space="0" w:color="auto"/>
        <w:right w:val="none" w:sz="0" w:space="0" w:color="auto"/>
      </w:divBdr>
    </w:div>
    <w:div w:id="1638485556">
      <w:bodyDiv w:val="1"/>
      <w:marLeft w:val="0"/>
      <w:marRight w:val="0"/>
      <w:marTop w:val="0"/>
      <w:marBottom w:val="0"/>
      <w:divBdr>
        <w:top w:val="none" w:sz="0" w:space="0" w:color="auto"/>
        <w:left w:val="none" w:sz="0" w:space="0" w:color="auto"/>
        <w:bottom w:val="none" w:sz="0" w:space="0" w:color="auto"/>
        <w:right w:val="none" w:sz="0" w:space="0" w:color="auto"/>
      </w:divBdr>
    </w:div>
    <w:div w:id="1642424246">
      <w:bodyDiv w:val="1"/>
      <w:marLeft w:val="0"/>
      <w:marRight w:val="0"/>
      <w:marTop w:val="0"/>
      <w:marBottom w:val="0"/>
      <w:divBdr>
        <w:top w:val="none" w:sz="0" w:space="0" w:color="auto"/>
        <w:left w:val="none" w:sz="0" w:space="0" w:color="auto"/>
        <w:bottom w:val="none" w:sz="0" w:space="0" w:color="auto"/>
        <w:right w:val="none" w:sz="0" w:space="0" w:color="auto"/>
      </w:divBdr>
    </w:div>
    <w:div w:id="1863932467">
      <w:bodyDiv w:val="1"/>
      <w:marLeft w:val="0"/>
      <w:marRight w:val="0"/>
      <w:marTop w:val="0"/>
      <w:marBottom w:val="0"/>
      <w:divBdr>
        <w:top w:val="none" w:sz="0" w:space="0" w:color="auto"/>
        <w:left w:val="none" w:sz="0" w:space="0" w:color="auto"/>
        <w:bottom w:val="none" w:sz="0" w:space="0" w:color="auto"/>
        <w:right w:val="none" w:sz="0" w:space="0" w:color="auto"/>
      </w:divBdr>
    </w:div>
    <w:div w:id="1946303820">
      <w:bodyDiv w:val="1"/>
      <w:marLeft w:val="0"/>
      <w:marRight w:val="0"/>
      <w:marTop w:val="0"/>
      <w:marBottom w:val="0"/>
      <w:divBdr>
        <w:top w:val="none" w:sz="0" w:space="0" w:color="auto"/>
        <w:left w:val="none" w:sz="0" w:space="0" w:color="auto"/>
        <w:bottom w:val="none" w:sz="0" w:space="0" w:color="auto"/>
        <w:right w:val="none" w:sz="0" w:space="0" w:color="auto"/>
      </w:divBdr>
    </w:div>
    <w:div w:id="19530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al.takalkar@hcl.com" TargetMode="External"/><Relationship Id="rId3" Type="http://schemas.openxmlformats.org/officeDocument/2006/relationships/styles" Target="styles.xml"/><Relationship Id="rId7" Type="http://schemas.openxmlformats.org/officeDocument/2006/relationships/hyperlink" Target="http://www.hcl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676DB1-B16F-468C-8A51-08239D6C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Katsuhiko KITAHARA</dc:creator>
  <cp:keywords/>
  <dc:description/>
  <cp:lastModifiedBy>Sumit Ranjan Aggarwal, Noida</cp:lastModifiedBy>
  <cp:revision>75</cp:revision>
  <dcterms:created xsi:type="dcterms:W3CDTF">2017-06-06T12:36:00Z</dcterms:created>
  <dcterms:modified xsi:type="dcterms:W3CDTF">2017-06-14T06:15:00Z</dcterms:modified>
</cp:coreProperties>
</file>